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52AD5" w14:textId="60DF1ED2" w:rsidR="002947A5" w:rsidRPr="00D2461E" w:rsidRDefault="002947A5" w:rsidP="00D2461E">
      <w:pPr>
        <w:spacing w:after="240" w:line="276" w:lineRule="auto"/>
        <w:jc w:val="center"/>
        <w:rPr>
          <w:rFonts w:cs="Times New Roman"/>
          <w:b/>
          <w:bCs/>
          <w:color w:val="632423" w:themeColor="accent2" w:themeShade="80"/>
          <w:sz w:val="40"/>
          <w:szCs w:val="36"/>
          <w:lang w:val="es-ES"/>
        </w:rPr>
      </w:pPr>
      <w:r w:rsidRPr="00D2461E">
        <w:rPr>
          <w:rFonts w:cs="Times New Roman"/>
          <w:b/>
          <w:bCs/>
          <w:color w:val="632423" w:themeColor="accent2" w:themeShade="80"/>
          <w:sz w:val="40"/>
          <w:szCs w:val="36"/>
          <w:lang w:val="es-ES"/>
        </w:rPr>
        <w:t>L</w:t>
      </w:r>
      <w:r w:rsidR="00D2461E" w:rsidRPr="00D2461E">
        <w:rPr>
          <w:rFonts w:cs="Times New Roman"/>
          <w:b/>
          <w:bCs/>
          <w:color w:val="632423" w:themeColor="accent2" w:themeShade="80"/>
          <w:sz w:val="40"/>
          <w:szCs w:val="36"/>
          <w:lang w:val="es-ES"/>
        </w:rPr>
        <w:t>a actividad económica urbana de la zona cero de la DANA de Valencia, tras dos años de las inundaciones</w:t>
      </w:r>
    </w:p>
    <w:p w14:paraId="68AEEFC1" w14:textId="2798D761" w:rsidR="009875D5" w:rsidRPr="00B4514A" w:rsidRDefault="00B4514A" w:rsidP="00B4514A">
      <w:pPr>
        <w:pBdr>
          <w:bottom w:val="single" w:sz="4" w:space="1" w:color="auto"/>
        </w:pBdr>
        <w:spacing w:after="200" w:line="276" w:lineRule="auto"/>
        <w:jc w:val="center"/>
        <w:rPr>
          <w:rFonts w:cs="Times New Roman"/>
          <w:b/>
          <w:bCs/>
          <w:i/>
          <w:iCs/>
          <w:color w:val="632423" w:themeColor="accent2" w:themeShade="80"/>
          <w:sz w:val="28"/>
          <w:szCs w:val="24"/>
          <w:lang w:val="es-ES"/>
        </w:rPr>
      </w:pPr>
      <w:r>
        <w:rPr>
          <w:rFonts w:cs="Times New Roman"/>
          <w:b/>
          <w:bCs/>
          <w:i/>
          <w:iCs/>
          <w:color w:val="632423" w:themeColor="accent2" w:themeShade="80"/>
          <w:sz w:val="28"/>
          <w:szCs w:val="24"/>
          <w:lang w:val="es-ES"/>
        </w:rPr>
        <w:t>Síntesis</w:t>
      </w:r>
      <w:r w:rsidRPr="00B4514A">
        <w:rPr>
          <w:rFonts w:cs="Times New Roman"/>
          <w:b/>
          <w:bCs/>
          <w:i/>
          <w:iCs/>
          <w:color w:val="632423" w:themeColor="accent2" w:themeShade="80"/>
          <w:sz w:val="28"/>
          <w:szCs w:val="24"/>
          <w:lang w:val="es-ES"/>
        </w:rPr>
        <w:t xml:space="preserve"> del análisis económico y social</w:t>
      </w:r>
    </w:p>
    <w:p w14:paraId="5DB14D09" w14:textId="77777777" w:rsidR="002947A5" w:rsidRPr="009875D5" w:rsidRDefault="002947A5" w:rsidP="002947A5">
      <w:pPr>
        <w:spacing w:after="20"/>
        <w:jc w:val="center"/>
        <w:rPr>
          <w:lang w:val="es-ES"/>
        </w:rPr>
      </w:pPr>
    </w:p>
    <w:p w14:paraId="40225D14" w14:textId="249C3430" w:rsidR="005E7840" w:rsidRPr="009875D5" w:rsidRDefault="00996C65" w:rsidP="009875D5">
      <w:pPr>
        <w:pStyle w:val="DANASection"/>
        <w:spacing w:after="240" w:line="240" w:lineRule="auto"/>
        <w:rPr>
          <w:lang w:val="es-ES"/>
        </w:rPr>
      </w:pPr>
      <w:r w:rsidRPr="009875D5">
        <w:rPr>
          <w:lang w:val="es-ES"/>
        </w:rPr>
        <w:t xml:space="preserve">1. Recuperación económica </w:t>
      </w:r>
    </w:p>
    <w:p w14:paraId="0159B0DF" w14:textId="109AF120" w:rsidR="005E7840" w:rsidRPr="009875D5" w:rsidRDefault="009875D5" w:rsidP="009875D5">
      <w:pPr>
        <w:pStyle w:val="DANABullet"/>
        <w:numPr>
          <w:ilvl w:val="0"/>
          <w:numId w:val="1"/>
        </w:numPr>
        <w:spacing w:after="240" w:line="240" w:lineRule="auto"/>
        <w:jc w:val="both"/>
        <w:rPr>
          <w:lang w:val="es-ES"/>
        </w:rPr>
      </w:pPr>
      <w:r>
        <w:rPr>
          <w:b/>
          <w:lang w:val="es-ES"/>
        </w:rPr>
        <w:t>Consolidación de la r</w:t>
      </w:r>
      <w:r w:rsidR="00996C65" w:rsidRPr="009875D5">
        <w:rPr>
          <w:b/>
          <w:lang w:val="es-ES"/>
        </w:rPr>
        <w:t>ecuperación empresarial.</w:t>
      </w:r>
      <w:r w:rsidR="00996C65" w:rsidRPr="009875D5">
        <w:rPr>
          <w:lang w:val="es-ES"/>
        </w:rPr>
        <w:t xml:space="preserve"> En 2026, siete de cada diez negocios encuestados han recuperado o superado su nivel de actividad anterior a la DANA. La </w:t>
      </w:r>
      <w:r w:rsidRPr="009875D5">
        <w:rPr>
          <w:lang w:val="es-ES"/>
        </w:rPr>
        <w:t>normalización</w:t>
      </w:r>
      <w:r w:rsidR="00996C65" w:rsidRPr="009875D5">
        <w:rPr>
          <w:lang w:val="es-ES"/>
        </w:rPr>
        <w:t xml:space="preserve"> es significativa, aunque </w:t>
      </w:r>
      <w:r w:rsidRPr="009875D5">
        <w:rPr>
          <w:lang w:val="es-ES"/>
        </w:rPr>
        <w:t>desigual por sectores y mu</w:t>
      </w:r>
      <w:r>
        <w:rPr>
          <w:lang w:val="es-ES"/>
        </w:rPr>
        <w:t>nicipios</w:t>
      </w:r>
      <w:r w:rsidR="00996C65" w:rsidRPr="009875D5">
        <w:rPr>
          <w:lang w:val="es-ES"/>
        </w:rPr>
        <w:t>.</w:t>
      </w:r>
    </w:p>
    <w:p w14:paraId="68E2FE00" w14:textId="415FEA34" w:rsidR="005E7840" w:rsidRPr="009875D5" w:rsidRDefault="00996C65" w:rsidP="009875D5">
      <w:pPr>
        <w:pStyle w:val="DANABullet"/>
        <w:numPr>
          <w:ilvl w:val="0"/>
          <w:numId w:val="1"/>
        </w:numPr>
        <w:spacing w:after="240" w:line="240" w:lineRule="auto"/>
        <w:jc w:val="both"/>
        <w:rPr>
          <w:lang w:val="es-ES"/>
        </w:rPr>
      </w:pPr>
      <w:r w:rsidRPr="009875D5">
        <w:rPr>
          <w:b/>
          <w:lang w:val="es-ES"/>
        </w:rPr>
        <w:t>Diferencias según la dimensión del negocio.</w:t>
      </w:r>
      <w:r w:rsidRPr="009875D5">
        <w:rPr>
          <w:lang w:val="es-ES"/>
        </w:rPr>
        <w:t xml:space="preserve"> El 35% de los establecimientos de uno a cinco trabajadores declara una actividad inferior a la previa a la DANA, frente al </w:t>
      </w:r>
      <w:r w:rsidR="009875D5">
        <w:rPr>
          <w:lang w:val="es-ES"/>
        </w:rPr>
        <w:t>20</w:t>
      </w:r>
      <w:r w:rsidRPr="009875D5">
        <w:rPr>
          <w:lang w:val="es-ES"/>
        </w:rPr>
        <w:t>% de los negocios de mayor tamaño.</w:t>
      </w:r>
    </w:p>
    <w:p w14:paraId="67373F88" w14:textId="27A8E3C8" w:rsidR="005E7840" w:rsidRPr="009875D5" w:rsidRDefault="00996C65" w:rsidP="009875D5">
      <w:pPr>
        <w:pStyle w:val="DANABullet"/>
        <w:numPr>
          <w:ilvl w:val="0"/>
          <w:numId w:val="1"/>
        </w:numPr>
        <w:spacing w:after="240" w:line="240" w:lineRule="auto"/>
        <w:jc w:val="both"/>
        <w:rPr>
          <w:lang w:val="es-ES"/>
        </w:rPr>
      </w:pPr>
      <w:r w:rsidRPr="009875D5">
        <w:rPr>
          <w:b/>
          <w:lang w:val="es-ES"/>
        </w:rPr>
        <w:t>Recuperación territorial desigual.</w:t>
      </w:r>
      <w:r w:rsidRPr="009875D5">
        <w:rPr>
          <w:lang w:val="es-ES"/>
        </w:rPr>
        <w:t xml:space="preserve"> </w:t>
      </w:r>
      <w:r w:rsidR="009875D5">
        <w:rPr>
          <w:lang w:val="es-ES"/>
        </w:rPr>
        <w:t>Los municipios de mayor población perciben una recuperación más significativa de la actividad, donde el 72% percibe un nivel de actividad igual o superior al de 2024. En el caso de los m</w:t>
      </w:r>
      <w:r w:rsidRPr="009875D5">
        <w:rPr>
          <w:lang w:val="es-ES"/>
        </w:rPr>
        <w:t>unicipios de menos de 20.000 habitantes</w:t>
      </w:r>
      <w:r w:rsidR="009875D5">
        <w:rPr>
          <w:lang w:val="es-ES"/>
        </w:rPr>
        <w:t xml:space="preserve"> dicho porcentaje se reduce hasta el 64%.</w:t>
      </w:r>
    </w:p>
    <w:p w14:paraId="4D8D4189" w14:textId="33877233" w:rsidR="005E7840" w:rsidRPr="009875D5" w:rsidRDefault="00996C65" w:rsidP="009875D5">
      <w:pPr>
        <w:pStyle w:val="DANABullet"/>
        <w:numPr>
          <w:ilvl w:val="0"/>
          <w:numId w:val="1"/>
        </w:numPr>
        <w:spacing w:after="240" w:line="240" w:lineRule="auto"/>
        <w:jc w:val="both"/>
        <w:rPr>
          <w:lang w:val="es-ES"/>
        </w:rPr>
      </w:pPr>
      <w:r w:rsidRPr="009875D5">
        <w:rPr>
          <w:b/>
          <w:lang w:val="es-ES"/>
        </w:rPr>
        <w:t>Mayor retraso en determinadas actividades.</w:t>
      </w:r>
      <w:r w:rsidRPr="009875D5">
        <w:rPr>
          <w:lang w:val="es-ES"/>
        </w:rPr>
        <w:t xml:space="preserve"> El 5</w:t>
      </w:r>
      <w:r w:rsidR="009875D5">
        <w:rPr>
          <w:lang w:val="es-ES"/>
        </w:rPr>
        <w:t>3</w:t>
      </w:r>
      <w:r w:rsidRPr="009875D5">
        <w:rPr>
          <w:lang w:val="es-ES"/>
        </w:rPr>
        <w:t>% de los negocios de restauración y hostelería y el 4</w:t>
      </w:r>
      <w:r w:rsidR="009875D5">
        <w:rPr>
          <w:lang w:val="es-ES"/>
        </w:rPr>
        <w:t>6</w:t>
      </w:r>
      <w:r w:rsidRPr="009875D5">
        <w:rPr>
          <w:lang w:val="es-ES"/>
        </w:rPr>
        <w:t>% del comercio no alimentario presentan una actividad inferior a la anterior a las inundaciones.</w:t>
      </w:r>
    </w:p>
    <w:p w14:paraId="3F180BA5" w14:textId="44FC8D5D" w:rsidR="005E7840" w:rsidRPr="009875D5" w:rsidRDefault="00996C65" w:rsidP="009875D5">
      <w:pPr>
        <w:pStyle w:val="DANABullet"/>
        <w:numPr>
          <w:ilvl w:val="0"/>
          <w:numId w:val="1"/>
        </w:numPr>
        <w:spacing w:after="240" w:line="240" w:lineRule="auto"/>
        <w:jc w:val="both"/>
        <w:rPr>
          <w:lang w:val="es-ES"/>
        </w:rPr>
      </w:pPr>
      <w:r w:rsidRPr="009875D5">
        <w:rPr>
          <w:b/>
          <w:lang w:val="es-ES"/>
        </w:rPr>
        <w:t xml:space="preserve">La construcción ha impulsado </w:t>
      </w:r>
      <w:r w:rsidR="009875D5">
        <w:rPr>
          <w:b/>
          <w:lang w:val="es-ES"/>
        </w:rPr>
        <w:t>la creación de</w:t>
      </w:r>
      <w:r w:rsidRPr="009875D5">
        <w:rPr>
          <w:b/>
          <w:lang w:val="es-ES"/>
        </w:rPr>
        <w:t xml:space="preserve"> empleo.</w:t>
      </w:r>
      <w:r w:rsidRPr="009875D5">
        <w:rPr>
          <w:lang w:val="es-ES"/>
        </w:rPr>
        <w:t xml:space="preserve"> Las afiliaciones del sector en la zona cero han aumentado un 22% en dos años, </w:t>
      </w:r>
      <w:r w:rsidR="009875D5">
        <w:rPr>
          <w:lang w:val="es-ES"/>
        </w:rPr>
        <w:t xml:space="preserve">impulsado por </w:t>
      </w:r>
      <w:r w:rsidRPr="009875D5">
        <w:rPr>
          <w:lang w:val="es-ES"/>
        </w:rPr>
        <w:t>la ejecución de obras de reconstrucción y rehabilitación.</w:t>
      </w:r>
    </w:p>
    <w:p w14:paraId="60447981" w14:textId="17D8A4B3" w:rsidR="00352581" w:rsidRPr="009875D5" w:rsidRDefault="00352581" w:rsidP="00352581">
      <w:pPr>
        <w:pStyle w:val="DANABullet"/>
        <w:numPr>
          <w:ilvl w:val="0"/>
          <w:numId w:val="1"/>
        </w:numPr>
        <w:spacing w:after="240" w:line="240" w:lineRule="auto"/>
        <w:jc w:val="both"/>
        <w:rPr>
          <w:lang w:val="es-ES"/>
        </w:rPr>
      </w:pPr>
      <w:r w:rsidRPr="009875D5">
        <w:rPr>
          <w:b/>
          <w:lang w:val="es-ES"/>
        </w:rPr>
        <w:t>El empleo en servicios ha superado niveles anteriores.</w:t>
      </w:r>
      <w:r w:rsidRPr="009875D5">
        <w:rPr>
          <w:lang w:val="es-ES"/>
        </w:rPr>
        <w:t xml:space="preserve"> Pese al descenso de afiliación durante la primera mitad de 2026, el sector servicios mantiene un 6% más de afiliados que en el mismo periodo </w:t>
      </w:r>
      <w:r w:rsidR="00B20905">
        <w:rPr>
          <w:lang w:val="es-ES"/>
        </w:rPr>
        <w:t xml:space="preserve">de referencia </w:t>
      </w:r>
      <w:r w:rsidRPr="009875D5">
        <w:rPr>
          <w:lang w:val="es-ES"/>
        </w:rPr>
        <w:t>de 2024.</w:t>
      </w:r>
    </w:p>
    <w:p w14:paraId="35A0744B" w14:textId="77777777" w:rsidR="00352581" w:rsidRDefault="00996C65" w:rsidP="009875D5">
      <w:pPr>
        <w:pStyle w:val="DANABullet"/>
        <w:numPr>
          <w:ilvl w:val="0"/>
          <w:numId w:val="1"/>
        </w:numPr>
        <w:spacing w:after="240" w:line="240" w:lineRule="auto"/>
        <w:jc w:val="both"/>
        <w:rPr>
          <w:lang w:val="es-ES"/>
        </w:rPr>
      </w:pPr>
      <w:r w:rsidRPr="00352581">
        <w:rPr>
          <w:b/>
          <w:lang w:val="es-ES"/>
        </w:rPr>
        <w:t>La recuperación industrial continúa siendo heterogénea.</w:t>
      </w:r>
      <w:r w:rsidRPr="00352581">
        <w:rPr>
          <w:lang w:val="es-ES"/>
        </w:rPr>
        <w:t xml:space="preserve"> El consumo eléctrico industrial entre enero y mayo de 2026 es aproximadamente un 8% inferior al del mismo periodo de 2024. </w:t>
      </w:r>
      <w:r w:rsidR="00352581" w:rsidRPr="00352581">
        <w:rPr>
          <w:lang w:val="es-ES"/>
        </w:rPr>
        <w:t xml:space="preserve">La industria de los municipios más afectados son los que muestran un mayor retraso en su recuperación. </w:t>
      </w:r>
    </w:p>
    <w:p w14:paraId="3756020A" w14:textId="77777777" w:rsidR="00352581" w:rsidRDefault="00352581" w:rsidP="00352581">
      <w:pPr>
        <w:pStyle w:val="DANABullet"/>
        <w:spacing w:after="240" w:line="240" w:lineRule="auto"/>
        <w:ind w:left="550" w:firstLine="0"/>
        <w:jc w:val="both"/>
        <w:rPr>
          <w:lang w:val="es-ES"/>
        </w:rPr>
      </w:pPr>
    </w:p>
    <w:p w14:paraId="390197EE" w14:textId="04682481" w:rsidR="005E7840" w:rsidRPr="00352581" w:rsidRDefault="00996C65" w:rsidP="00352581">
      <w:pPr>
        <w:pStyle w:val="DANASection"/>
        <w:spacing w:after="240" w:line="240" w:lineRule="auto"/>
        <w:rPr>
          <w:lang w:val="es-ES"/>
        </w:rPr>
      </w:pPr>
      <w:r w:rsidRPr="00352581">
        <w:rPr>
          <w:lang w:val="es-ES"/>
        </w:rPr>
        <w:t>2. Economía urbana</w:t>
      </w:r>
    </w:p>
    <w:p w14:paraId="5E1946B0" w14:textId="77777777" w:rsidR="00B20905" w:rsidRDefault="006256E3" w:rsidP="009875D5">
      <w:pPr>
        <w:pStyle w:val="DANABullet"/>
        <w:numPr>
          <w:ilvl w:val="0"/>
          <w:numId w:val="1"/>
        </w:numPr>
        <w:spacing w:after="240" w:line="240" w:lineRule="auto"/>
        <w:jc w:val="both"/>
        <w:rPr>
          <w:lang w:val="es-ES"/>
        </w:rPr>
      </w:pPr>
      <w:r w:rsidRPr="003C037F">
        <w:rPr>
          <w:b/>
          <w:lang w:val="es-ES"/>
        </w:rPr>
        <w:t xml:space="preserve">Cambios en las actividades de servicios en los </w:t>
      </w:r>
      <w:r w:rsidR="003C037F" w:rsidRPr="003C037F">
        <w:rPr>
          <w:b/>
          <w:lang w:val="es-ES"/>
        </w:rPr>
        <w:t>municipios</w:t>
      </w:r>
      <w:r w:rsidRPr="003C037F">
        <w:rPr>
          <w:b/>
          <w:lang w:val="es-ES"/>
        </w:rPr>
        <w:t xml:space="preserve"> afectados</w:t>
      </w:r>
      <w:r w:rsidR="00996C65" w:rsidRPr="009875D5">
        <w:rPr>
          <w:b/>
          <w:lang w:val="es-ES"/>
        </w:rPr>
        <w:t>.</w:t>
      </w:r>
      <w:r w:rsidR="00996C65" w:rsidRPr="009875D5">
        <w:rPr>
          <w:lang w:val="es-ES"/>
        </w:rPr>
        <w:t xml:space="preserve"> </w:t>
      </w:r>
      <w:r w:rsidR="00352581">
        <w:rPr>
          <w:lang w:val="es-ES"/>
        </w:rPr>
        <w:t>M</w:t>
      </w:r>
      <w:r w:rsidR="00996C65" w:rsidRPr="009875D5">
        <w:rPr>
          <w:lang w:val="es-ES"/>
        </w:rPr>
        <w:t>ayor presencia de</w:t>
      </w:r>
      <w:r w:rsidR="00352581">
        <w:rPr>
          <w:lang w:val="es-ES"/>
        </w:rPr>
        <w:t xml:space="preserve"> actividades relacionadas con</w:t>
      </w:r>
      <w:r w:rsidR="00996C65" w:rsidRPr="009875D5">
        <w:rPr>
          <w:lang w:val="es-ES"/>
        </w:rPr>
        <w:t xml:space="preserve"> servicios personales, </w:t>
      </w:r>
      <w:r w:rsidR="00352581">
        <w:rPr>
          <w:lang w:val="es-ES"/>
        </w:rPr>
        <w:t xml:space="preserve">frente a la pérdida de peso de </w:t>
      </w:r>
      <w:r w:rsidR="00996C65" w:rsidRPr="009875D5">
        <w:rPr>
          <w:lang w:val="es-ES"/>
        </w:rPr>
        <w:t xml:space="preserve">determinadas actividades comerciales tradicionales. </w:t>
      </w:r>
      <w:r>
        <w:rPr>
          <w:lang w:val="es-ES"/>
        </w:rPr>
        <w:t xml:space="preserve">Tendencia que se ha acelerado con el proceso de recuperación. </w:t>
      </w:r>
    </w:p>
    <w:p w14:paraId="0D2E5244" w14:textId="6D3324D7" w:rsidR="005E7840" w:rsidRDefault="003C037F" w:rsidP="009875D5">
      <w:pPr>
        <w:pStyle w:val="DANABullet"/>
        <w:numPr>
          <w:ilvl w:val="0"/>
          <w:numId w:val="1"/>
        </w:numPr>
        <w:spacing w:after="240" w:line="240" w:lineRule="auto"/>
        <w:jc w:val="both"/>
        <w:rPr>
          <w:lang w:val="es-ES"/>
        </w:rPr>
      </w:pPr>
      <w:r w:rsidRPr="00B20905">
        <w:rPr>
          <w:b/>
          <w:bCs/>
          <w:lang w:val="es-ES"/>
        </w:rPr>
        <w:t xml:space="preserve">Se mantienen las principales zonas comerciales en los municipios afectados. </w:t>
      </w:r>
      <w:r w:rsidR="00996C65" w:rsidRPr="009875D5">
        <w:rPr>
          <w:lang w:val="es-ES"/>
        </w:rPr>
        <w:t xml:space="preserve">No se identifica un traslado </w:t>
      </w:r>
      <w:r w:rsidR="00352581">
        <w:rPr>
          <w:lang w:val="es-ES"/>
        </w:rPr>
        <w:t>significativo</w:t>
      </w:r>
      <w:r w:rsidR="00996C65" w:rsidRPr="009875D5">
        <w:rPr>
          <w:lang w:val="es-ES"/>
        </w:rPr>
        <w:t xml:space="preserve"> del comercio hacia zonas menos inundables.</w:t>
      </w:r>
      <w:r w:rsidR="00352581">
        <w:rPr>
          <w:lang w:val="es-ES"/>
        </w:rPr>
        <w:t xml:space="preserve"> </w:t>
      </w:r>
    </w:p>
    <w:p w14:paraId="52390A37" w14:textId="7149D384" w:rsidR="00D2461E" w:rsidRPr="00D2461E" w:rsidRDefault="00D2461E" w:rsidP="00D2461E">
      <w:pPr>
        <w:tabs>
          <w:tab w:val="left" w:pos="8160"/>
        </w:tabs>
        <w:rPr>
          <w:lang w:val="es-ES"/>
        </w:rPr>
      </w:pPr>
      <w:r>
        <w:rPr>
          <w:lang w:val="es-ES"/>
        </w:rPr>
        <w:tab/>
      </w:r>
    </w:p>
    <w:p w14:paraId="4516B526" w14:textId="17A6EE80" w:rsidR="005E7840" w:rsidRPr="009875D5" w:rsidRDefault="00996C65" w:rsidP="009875D5">
      <w:pPr>
        <w:pStyle w:val="DANABullet"/>
        <w:numPr>
          <w:ilvl w:val="0"/>
          <w:numId w:val="1"/>
        </w:numPr>
        <w:spacing w:after="240" w:line="240" w:lineRule="auto"/>
        <w:jc w:val="both"/>
        <w:rPr>
          <w:lang w:val="es-ES"/>
        </w:rPr>
      </w:pPr>
      <w:r w:rsidRPr="009875D5">
        <w:rPr>
          <w:b/>
          <w:lang w:val="es-ES"/>
        </w:rPr>
        <w:lastRenderedPageBreak/>
        <w:t>La recuperación de la clientela es incompleta.</w:t>
      </w:r>
      <w:r w:rsidRPr="009875D5">
        <w:rPr>
          <w:lang w:val="es-ES"/>
        </w:rPr>
        <w:t xml:space="preserve"> </w:t>
      </w:r>
      <w:r w:rsidR="00B20905">
        <w:rPr>
          <w:lang w:val="es-ES"/>
        </w:rPr>
        <w:t>En tres de cada cuatro</w:t>
      </w:r>
      <w:r w:rsidRPr="009875D5">
        <w:rPr>
          <w:lang w:val="es-ES"/>
        </w:rPr>
        <w:t xml:space="preserve"> establecimientos </w:t>
      </w:r>
      <w:r w:rsidR="00B20905">
        <w:rPr>
          <w:lang w:val="es-ES"/>
        </w:rPr>
        <w:t xml:space="preserve">se </w:t>
      </w:r>
      <w:r w:rsidR="00352581">
        <w:rPr>
          <w:lang w:val="es-ES"/>
        </w:rPr>
        <w:t xml:space="preserve">alcanza ya un volumen de clientes similares a los de </w:t>
      </w:r>
      <w:r w:rsidRPr="009875D5">
        <w:rPr>
          <w:lang w:val="es-ES"/>
        </w:rPr>
        <w:t xml:space="preserve">antes de la DANA. </w:t>
      </w:r>
      <w:r w:rsidR="00352581">
        <w:rPr>
          <w:lang w:val="es-ES"/>
        </w:rPr>
        <w:t xml:space="preserve">Sin embargo, el 50% de los establecimientos hosteleros y 44% del comercio no alimentario manifiesta </w:t>
      </w:r>
      <w:r w:rsidR="003516EC">
        <w:rPr>
          <w:lang w:val="es-ES"/>
        </w:rPr>
        <w:t>que el número de clientes es todavía inferior.</w:t>
      </w:r>
    </w:p>
    <w:p w14:paraId="1330405C" w14:textId="220C2C2D" w:rsidR="005E7840" w:rsidRPr="009875D5" w:rsidRDefault="003516EC" w:rsidP="009875D5">
      <w:pPr>
        <w:pStyle w:val="DANABullet"/>
        <w:numPr>
          <w:ilvl w:val="0"/>
          <w:numId w:val="1"/>
        </w:numPr>
        <w:spacing w:after="240" w:line="240" w:lineRule="auto"/>
        <w:jc w:val="both"/>
        <w:rPr>
          <w:lang w:val="es-ES"/>
        </w:rPr>
      </w:pPr>
      <w:r>
        <w:rPr>
          <w:b/>
          <w:lang w:val="es-ES"/>
        </w:rPr>
        <w:t>Factores que inciden en el consumo local</w:t>
      </w:r>
      <w:r w:rsidR="00996C65" w:rsidRPr="009875D5">
        <w:rPr>
          <w:b/>
          <w:lang w:val="es-ES"/>
        </w:rPr>
        <w:t>.</w:t>
      </w:r>
      <w:r w:rsidR="00996C65" w:rsidRPr="009875D5">
        <w:rPr>
          <w:lang w:val="es-ES"/>
        </w:rPr>
        <w:t xml:space="preserve"> Entre los motivos de pérdida de clientela señalados figuran la redistribución del gasto familiar, los desplazamientos de compradores a otras zonas y los cambios de establecimiento durante los cierres temporales.</w:t>
      </w:r>
    </w:p>
    <w:p w14:paraId="3D21BCD3" w14:textId="6BB27A35" w:rsidR="005E7840" w:rsidRDefault="003516EC" w:rsidP="009875D5">
      <w:pPr>
        <w:pStyle w:val="DANABullet"/>
        <w:numPr>
          <w:ilvl w:val="0"/>
          <w:numId w:val="1"/>
        </w:numPr>
        <w:spacing w:after="240" w:line="240" w:lineRule="auto"/>
        <w:jc w:val="both"/>
        <w:rPr>
          <w:lang w:val="es-ES"/>
        </w:rPr>
      </w:pPr>
      <w:r>
        <w:rPr>
          <w:b/>
          <w:lang w:val="es-ES"/>
        </w:rPr>
        <w:t xml:space="preserve">La recuperación del </w:t>
      </w:r>
      <w:r w:rsidR="00996C65" w:rsidRPr="009875D5">
        <w:rPr>
          <w:b/>
          <w:lang w:val="es-ES"/>
        </w:rPr>
        <w:t>entorno urbano sigue limitando la actividad.</w:t>
      </w:r>
      <w:r w:rsidR="00996C65" w:rsidRPr="009875D5">
        <w:rPr>
          <w:lang w:val="es-ES"/>
        </w:rPr>
        <w:t xml:space="preserve"> Aproximadamente uno de cada dos negocios identifica factores vinculados a la DANA que todavía le afectan. Entre las menciones recogidas, el 4</w:t>
      </w:r>
      <w:r>
        <w:rPr>
          <w:lang w:val="es-ES"/>
        </w:rPr>
        <w:t>3</w:t>
      </w:r>
      <w:r w:rsidR="00996C65" w:rsidRPr="009875D5">
        <w:rPr>
          <w:lang w:val="es-ES"/>
        </w:rPr>
        <w:t xml:space="preserve">% corresponde al entorno urbano y la accesibilidad; el </w:t>
      </w:r>
      <w:r>
        <w:rPr>
          <w:lang w:val="es-ES"/>
        </w:rPr>
        <w:t>40</w:t>
      </w:r>
      <w:r w:rsidR="00996C65" w:rsidRPr="009875D5">
        <w:rPr>
          <w:lang w:val="es-ES"/>
        </w:rPr>
        <w:t xml:space="preserve">%, a la demanda y economía familiar; y </w:t>
      </w:r>
      <w:r>
        <w:rPr>
          <w:lang w:val="es-ES"/>
        </w:rPr>
        <w:t>casi el 18</w:t>
      </w:r>
      <w:r w:rsidR="00996C65" w:rsidRPr="009875D5">
        <w:rPr>
          <w:lang w:val="es-ES"/>
        </w:rPr>
        <w:t>% a</w:t>
      </w:r>
      <w:r>
        <w:rPr>
          <w:lang w:val="es-ES"/>
        </w:rPr>
        <w:t xml:space="preserve">l aumento de los </w:t>
      </w:r>
      <w:r w:rsidR="00996C65" w:rsidRPr="009875D5">
        <w:rPr>
          <w:lang w:val="es-ES"/>
        </w:rPr>
        <w:t xml:space="preserve">costes y </w:t>
      </w:r>
      <w:r>
        <w:rPr>
          <w:lang w:val="es-ES"/>
        </w:rPr>
        <w:t xml:space="preserve">las </w:t>
      </w:r>
      <w:r w:rsidR="00996C65" w:rsidRPr="009875D5">
        <w:rPr>
          <w:lang w:val="es-ES"/>
        </w:rPr>
        <w:t>tensiones empresariales.</w:t>
      </w:r>
    </w:p>
    <w:p w14:paraId="6318FAD6" w14:textId="77777777" w:rsidR="003516EC" w:rsidRPr="009875D5" w:rsidRDefault="003516EC" w:rsidP="003516EC">
      <w:pPr>
        <w:pStyle w:val="DANABullet"/>
        <w:spacing w:after="240" w:line="240" w:lineRule="auto"/>
        <w:ind w:left="550" w:firstLine="0"/>
        <w:jc w:val="both"/>
        <w:rPr>
          <w:lang w:val="es-ES"/>
        </w:rPr>
      </w:pPr>
    </w:p>
    <w:p w14:paraId="3D1B4192" w14:textId="6A3A7EBE" w:rsidR="005E7840" w:rsidRPr="00352581" w:rsidRDefault="00996C65" w:rsidP="009875D5">
      <w:pPr>
        <w:pStyle w:val="DANASection"/>
        <w:spacing w:after="240" w:line="240" w:lineRule="auto"/>
        <w:jc w:val="both"/>
        <w:rPr>
          <w:lang w:val="es-ES"/>
        </w:rPr>
      </w:pPr>
      <w:r w:rsidRPr="00352581">
        <w:rPr>
          <w:lang w:val="es-ES"/>
        </w:rPr>
        <w:t xml:space="preserve">3. </w:t>
      </w:r>
      <w:r w:rsidR="00352581" w:rsidRPr="00352581">
        <w:rPr>
          <w:lang w:val="es-ES"/>
        </w:rPr>
        <w:t xml:space="preserve">Actividad </w:t>
      </w:r>
      <w:r w:rsidR="00352581">
        <w:rPr>
          <w:lang w:val="es-ES"/>
        </w:rPr>
        <w:t>e</w:t>
      </w:r>
      <w:r w:rsidR="00352581" w:rsidRPr="00352581">
        <w:rPr>
          <w:lang w:val="es-ES"/>
        </w:rPr>
        <w:t>mpresarial: suministro</w:t>
      </w:r>
      <w:r w:rsidR="00352581">
        <w:rPr>
          <w:lang w:val="es-ES"/>
        </w:rPr>
        <w:t>s</w:t>
      </w:r>
      <w:r w:rsidR="00D86523">
        <w:rPr>
          <w:lang w:val="es-ES"/>
        </w:rPr>
        <w:t xml:space="preserve"> e inversión</w:t>
      </w:r>
    </w:p>
    <w:p w14:paraId="34FF391A" w14:textId="402F8E0F" w:rsidR="005E7840" w:rsidRPr="00F22A4B" w:rsidRDefault="00996C65" w:rsidP="00F22A4B">
      <w:pPr>
        <w:pStyle w:val="DANABullet"/>
        <w:numPr>
          <w:ilvl w:val="0"/>
          <w:numId w:val="2"/>
        </w:numPr>
        <w:spacing w:after="240" w:line="240" w:lineRule="auto"/>
        <w:jc w:val="both"/>
        <w:rPr>
          <w:color w:val="auto"/>
          <w:lang w:val="es-ES"/>
        </w:rPr>
      </w:pPr>
      <w:r w:rsidRPr="00F22A4B">
        <w:rPr>
          <w:b/>
          <w:lang w:val="es-ES"/>
        </w:rPr>
        <w:t>Las relaciones con los proveedores muestran continuidad.</w:t>
      </w:r>
      <w:r w:rsidRPr="00F22A4B">
        <w:rPr>
          <w:lang w:val="es-ES"/>
        </w:rPr>
        <w:t xml:space="preserve"> El 8</w:t>
      </w:r>
      <w:r w:rsidR="003516EC" w:rsidRPr="00F22A4B">
        <w:rPr>
          <w:lang w:val="es-ES"/>
        </w:rPr>
        <w:t>3</w:t>
      </w:r>
      <w:r w:rsidRPr="00F22A4B">
        <w:rPr>
          <w:lang w:val="es-ES"/>
        </w:rPr>
        <w:t xml:space="preserve">% de los negocios no ha cambiado de proveedores. Entre quienes sí los han sustituido, </w:t>
      </w:r>
      <w:r w:rsidR="00F22A4B" w:rsidRPr="00F22A4B">
        <w:rPr>
          <w:lang w:val="es-ES"/>
        </w:rPr>
        <w:t>la proximidad geográfica ha sido el principal criterio de sustitución (d</w:t>
      </w:r>
      <w:r w:rsidRPr="00F22A4B">
        <w:rPr>
          <w:lang w:val="es-ES"/>
        </w:rPr>
        <w:t>el propio municipio o de municipios cercanos</w:t>
      </w:r>
      <w:r w:rsidR="00F22A4B" w:rsidRPr="00F22A4B">
        <w:rPr>
          <w:lang w:val="es-ES"/>
        </w:rPr>
        <w:t>), lo que contribuye a dinamizar la economía de proximidad</w:t>
      </w:r>
      <w:r w:rsidRPr="00F22A4B">
        <w:rPr>
          <w:lang w:val="es-ES"/>
        </w:rPr>
        <w:t>.</w:t>
      </w:r>
      <w:r w:rsidR="00F22A4B" w:rsidRPr="00F22A4B">
        <w:rPr>
          <w:lang w:val="es-ES"/>
        </w:rPr>
        <w:t xml:space="preserve"> </w:t>
      </w:r>
      <w:r w:rsidR="003516EC" w:rsidRPr="00F22A4B">
        <w:rPr>
          <w:color w:val="auto"/>
          <w:lang w:val="es-ES"/>
        </w:rPr>
        <w:t xml:space="preserve">Los cambios hacia proveedores </w:t>
      </w:r>
      <w:r w:rsidR="00F22A4B" w:rsidRPr="00F22A4B">
        <w:rPr>
          <w:color w:val="auto"/>
          <w:lang w:val="es-ES"/>
        </w:rPr>
        <w:t>más cercanos han llevado aparejado un aumento de los precios, especialmente para los negocios más pequeños</w:t>
      </w:r>
      <w:r w:rsidR="00F22A4B">
        <w:rPr>
          <w:color w:val="auto"/>
          <w:lang w:val="es-ES"/>
        </w:rPr>
        <w:t xml:space="preserve"> (para el 52% de los mismo)</w:t>
      </w:r>
      <w:r w:rsidR="00F22A4B" w:rsidRPr="00F22A4B">
        <w:rPr>
          <w:color w:val="auto"/>
          <w:lang w:val="es-ES"/>
        </w:rPr>
        <w:t xml:space="preserve">, </w:t>
      </w:r>
      <w:r w:rsidR="00F22A4B">
        <w:rPr>
          <w:color w:val="auto"/>
          <w:lang w:val="es-ES"/>
        </w:rPr>
        <w:t>al contar co</w:t>
      </w:r>
      <w:r w:rsidR="00F22A4B" w:rsidRPr="00F22A4B">
        <w:rPr>
          <w:color w:val="auto"/>
          <w:lang w:val="es-ES"/>
        </w:rPr>
        <w:t xml:space="preserve">n menor poder de negociación. </w:t>
      </w:r>
    </w:p>
    <w:p w14:paraId="3E3E7B07" w14:textId="00F61B1B" w:rsidR="005E7840" w:rsidRPr="009875D5" w:rsidRDefault="00996C65" w:rsidP="009875D5">
      <w:pPr>
        <w:pStyle w:val="DANABullet"/>
        <w:numPr>
          <w:ilvl w:val="0"/>
          <w:numId w:val="1"/>
        </w:numPr>
        <w:spacing w:after="240" w:line="240" w:lineRule="auto"/>
        <w:jc w:val="both"/>
        <w:rPr>
          <w:lang w:val="es-ES"/>
        </w:rPr>
      </w:pPr>
      <w:r w:rsidRPr="009875D5">
        <w:rPr>
          <w:b/>
          <w:lang w:val="es-ES"/>
        </w:rPr>
        <w:t xml:space="preserve">La DANA ha </w:t>
      </w:r>
      <w:r w:rsidR="00F22A4B">
        <w:rPr>
          <w:b/>
          <w:lang w:val="es-ES"/>
        </w:rPr>
        <w:t>modificado</w:t>
      </w:r>
      <w:r w:rsidR="003516EC">
        <w:rPr>
          <w:b/>
          <w:lang w:val="es-ES"/>
        </w:rPr>
        <w:t xml:space="preserve"> las inversiones previstas</w:t>
      </w:r>
      <w:r w:rsidRPr="009875D5">
        <w:rPr>
          <w:b/>
          <w:lang w:val="es-ES"/>
        </w:rPr>
        <w:t>.</w:t>
      </w:r>
      <w:r w:rsidRPr="009875D5">
        <w:rPr>
          <w:lang w:val="es-ES"/>
        </w:rPr>
        <w:t xml:space="preserve"> </w:t>
      </w:r>
      <w:r w:rsidR="003516EC">
        <w:rPr>
          <w:lang w:val="es-ES"/>
        </w:rPr>
        <w:t xml:space="preserve">Casi la mitad de los </w:t>
      </w:r>
      <w:r w:rsidRPr="009875D5">
        <w:rPr>
          <w:lang w:val="es-ES"/>
        </w:rPr>
        <w:t xml:space="preserve">negocios </w:t>
      </w:r>
      <w:r w:rsidR="003516EC">
        <w:rPr>
          <w:lang w:val="es-ES"/>
        </w:rPr>
        <w:t xml:space="preserve">de la zona cero </w:t>
      </w:r>
      <w:r w:rsidRPr="009875D5">
        <w:rPr>
          <w:lang w:val="es-ES"/>
        </w:rPr>
        <w:t xml:space="preserve">tenía previstas inversiones para 2026. Dentro de este grupo, </w:t>
      </w:r>
      <w:r w:rsidR="00F22A4B">
        <w:rPr>
          <w:lang w:val="es-ES"/>
        </w:rPr>
        <w:t xml:space="preserve">el </w:t>
      </w:r>
      <w:r w:rsidR="003516EC" w:rsidRPr="00B20905">
        <w:rPr>
          <w:lang w:val="es-ES"/>
        </w:rPr>
        <w:t>60</w:t>
      </w:r>
      <w:r w:rsidRPr="009875D5">
        <w:rPr>
          <w:lang w:val="es-ES"/>
        </w:rPr>
        <w:t xml:space="preserve">% adelantó alguna actuación, el </w:t>
      </w:r>
      <w:r w:rsidR="00B20905">
        <w:rPr>
          <w:lang w:val="es-ES"/>
        </w:rPr>
        <w:t>40</w:t>
      </w:r>
      <w:r w:rsidRPr="009875D5">
        <w:rPr>
          <w:lang w:val="es-ES"/>
        </w:rPr>
        <w:t xml:space="preserve"> % aplazó alguna</w:t>
      </w:r>
      <w:r w:rsidR="00B20905">
        <w:rPr>
          <w:lang w:val="es-ES"/>
        </w:rPr>
        <w:t>.</w:t>
      </w:r>
    </w:p>
    <w:p w14:paraId="7E029A8C" w14:textId="24E68A3B" w:rsidR="005E7840" w:rsidRPr="009875D5" w:rsidRDefault="00996C65" w:rsidP="009875D5">
      <w:pPr>
        <w:pStyle w:val="DANABullet"/>
        <w:numPr>
          <w:ilvl w:val="0"/>
          <w:numId w:val="1"/>
        </w:numPr>
        <w:spacing w:after="240" w:line="240" w:lineRule="auto"/>
        <w:jc w:val="both"/>
        <w:rPr>
          <w:lang w:val="es-ES"/>
        </w:rPr>
      </w:pPr>
      <w:r w:rsidRPr="009875D5">
        <w:rPr>
          <w:b/>
          <w:lang w:val="es-ES"/>
        </w:rPr>
        <w:t>La recuperación ha adelantado inversiones operativas</w:t>
      </w:r>
      <w:r w:rsidR="00F22A4B">
        <w:rPr>
          <w:b/>
          <w:lang w:val="es-ES"/>
        </w:rPr>
        <w:t xml:space="preserve">, </w:t>
      </w:r>
      <w:r w:rsidR="00F22A4B" w:rsidRPr="00F22A4B">
        <w:rPr>
          <w:bCs/>
          <w:lang w:val="es-ES"/>
        </w:rPr>
        <w:t>destinadas a recuperar el funcionamiento del negocio</w:t>
      </w:r>
      <w:r w:rsidRPr="00F22A4B">
        <w:rPr>
          <w:bCs/>
          <w:lang w:val="es-ES"/>
        </w:rPr>
        <w:t>.</w:t>
      </w:r>
      <w:r w:rsidRPr="009875D5">
        <w:rPr>
          <w:lang w:val="es-ES"/>
        </w:rPr>
        <w:t xml:space="preserve"> Entre </w:t>
      </w:r>
      <w:r w:rsidR="00F22A4B">
        <w:rPr>
          <w:lang w:val="es-ES"/>
        </w:rPr>
        <w:t xml:space="preserve">estas </w:t>
      </w:r>
      <w:r w:rsidR="003516EC">
        <w:rPr>
          <w:lang w:val="es-ES"/>
        </w:rPr>
        <w:t>inversiones</w:t>
      </w:r>
      <w:r w:rsidR="00F22A4B">
        <w:rPr>
          <w:lang w:val="es-ES"/>
        </w:rPr>
        <w:t xml:space="preserve"> destacan las dirigidas</w:t>
      </w:r>
      <w:r w:rsidR="003516EC">
        <w:rPr>
          <w:lang w:val="es-ES"/>
        </w:rPr>
        <w:t xml:space="preserve"> a la </w:t>
      </w:r>
      <w:r w:rsidRPr="009875D5">
        <w:rPr>
          <w:lang w:val="es-ES"/>
        </w:rPr>
        <w:t>digitalización</w:t>
      </w:r>
      <w:r w:rsidR="003516EC">
        <w:rPr>
          <w:lang w:val="es-ES"/>
        </w:rPr>
        <w:t xml:space="preserve"> del negocio</w:t>
      </w:r>
      <w:r w:rsidRPr="009875D5">
        <w:rPr>
          <w:lang w:val="es-ES"/>
        </w:rPr>
        <w:t xml:space="preserve"> (65%), </w:t>
      </w:r>
      <w:r w:rsidR="003516EC">
        <w:rPr>
          <w:lang w:val="es-ES"/>
        </w:rPr>
        <w:t xml:space="preserve">la </w:t>
      </w:r>
      <w:r w:rsidRPr="009875D5">
        <w:rPr>
          <w:lang w:val="es-ES"/>
        </w:rPr>
        <w:t>reposición de existencias (6</w:t>
      </w:r>
      <w:r w:rsidR="003516EC">
        <w:rPr>
          <w:lang w:val="es-ES"/>
        </w:rPr>
        <w:t>3</w:t>
      </w:r>
      <w:r w:rsidRPr="009875D5">
        <w:rPr>
          <w:lang w:val="es-ES"/>
        </w:rPr>
        <w:t>%), reformas de</w:t>
      </w:r>
      <w:r w:rsidR="003516EC">
        <w:rPr>
          <w:lang w:val="es-ES"/>
        </w:rPr>
        <w:t xml:space="preserve"> los</w:t>
      </w:r>
      <w:r w:rsidRPr="009875D5">
        <w:rPr>
          <w:lang w:val="es-ES"/>
        </w:rPr>
        <w:t xml:space="preserve"> locales (62 %) y </w:t>
      </w:r>
      <w:r w:rsidR="003516EC">
        <w:rPr>
          <w:lang w:val="es-ES"/>
        </w:rPr>
        <w:t xml:space="preserve">la </w:t>
      </w:r>
      <w:r w:rsidRPr="009875D5">
        <w:rPr>
          <w:lang w:val="es-ES"/>
        </w:rPr>
        <w:t>compra de maquinaria y utensilios (6</w:t>
      </w:r>
      <w:r w:rsidR="003516EC">
        <w:rPr>
          <w:lang w:val="es-ES"/>
        </w:rPr>
        <w:t>1</w:t>
      </w:r>
      <w:r w:rsidRPr="009875D5">
        <w:rPr>
          <w:lang w:val="es-ES"/>
        </w:rPr>
        <w:t>%).</w:t>
      </w:r>
    </w:p>
    <w:p w14:paraId="600B155A" w14:textId="1FCAEFD7" w:rsidR="003516EC" w:rsidRDefault="00D86523" w:rsidP="00C91908">
      <w:pPr>
        <w:pStyle w:val="Listaconvietas"/>
        <w:tabs>
          <w:tab w:val="clear" w:pos="550"/>
          <w:tab w:val="num" w:pos="220"/>
          <w:tab w:val="num" w:pos="1868"/>
        </w:tabs>
        <w:jc w:val="both"/>
        <w:rPr>
          <w:lang w:val="es-ES"/>
        </w:rPr>
      </w:pPr>
      <w:r w:rsidRPr="00D86523">
        <w:rPr>
          <w:b/>
          <w:lang w:val="es-ES"/>
        </w:rPr>
        <w:t xml:space="preserve">Las empresas aplazan inversiones destinadas a la expansión del negocio. </w:t>
      </w:r>
      <w:r w:rsidRPr="00D86523">
        <w:rPr>
          <w:lang w:val="es-ES"/>
        </w:rPr>
        <w:t>E</w:t>
      </w:r>
      <w:r w:rsidR="00996C65" w:rsidRPr="00D86523">
        <w:rPr>
          <w:lang w:val="es-ES"/>
        </w:rPr>
        <w:t>l 50% de las</w:t>
      </w:r>
      <w:r w:rsidRPr="00D86523">
        <w:rPr>
          <w:lang w:val="es-ES"/>
        </w:rPr>
        <w:t xml:space="preserve"> empresas que tenías previsto ampliar instalaciones o desarrollar nuevas líneas de negocio han aplazado estas inversiones. Otras inversiones como la formación de los trabajadores y la contratación de nuevos trabajadores ligadas al crecimiento empresarial también se han aplazado para el 41% y 37% de las empresas, respectivamente. </w:t>
      </w:r>
    </w:p>
    <w:p w14:paraId="3F4D29BB" w14:textId="77777777" w:rsidR="00D86523" w:rsidRPr="00D86523" w:rsidRDefault="00D86523" w:rsidP="00D86523">
      <w:pPr>
        <w:pStyle w:val="DANABullet"/>
        <w:spacing w:after="240" w:line="240" w:lineRule="auto"/>
        <w:ind w:left="550" w:firstLine="0"/>
        <w:jc w:val="both"/>
        <w:rPr>
          <w:lang w:val="es-ES"/>
        </w:rPr>
      </w:pPr>
    </w:p>
    <w:p w14:paraId="453DBB5A" w14:textId="2D23ABB7" w:rsidR="005E7840" w:rsidRPr="009875D5" w:rsidRDefault="00996C65" w:rsidP="009875D5">
      <w:pPr>
        <w:pStyle w:val="DANASection"/>
        <w:spacing w:after="240" w:line="240" w:lineRule="auto"/>
        <w:jc w:val="both"/>
        <w:rPr>
          <w:lang w:val="es-ES"/>
        </w:rPr>
      </w:pPr>
      <w:r w:rsidRPr="009875D5">
        <w:rPr>
          <w:lang w:val="es-ES"/>
        </w:rPr>
        <w:t xml:space="preserve">4. </w:t>
      </w:r>
      <w:r w:rsidR="00352581">
        <w:rPr>
          <w:lang w:val="es-ES"/>
        </w:rPr>
        <w:t>Nuevos hábitos de consumo</w:t>
      </w:r>
    </w:p>
    <w:p w14:paraId="6C493460" w14:textId="1EE4541D" w:rsidR="005E7840" w:rsidRPr="009875D5" w:rsidRDefault="00996C65" w:rsidP="009875D5">
      <w:pPr>
        <w:pStyle w:val="DANABullet"/>
        <w:numPr>
          <w:ilvl w:val="0"/>
          <w:numId w:val="1"/>
        </w:numPr>
        <w:spacing w:after="240" w:line="240" w:lineRule="auto"/>
        <w:jc w:val="both"/>
        <w:rPr>
          <w:lang w:val="es-ES"/>
        </w:rPr>
      </w:pPr>
      <w:r w:rsidRPr="009875D5">
        <w:rPr>
          <w:b/>
          <w:lang w:val="es-ES"/>
        </w:rPr>
        <w:t>El impulso extraordinario</w:t>
      </w:r>
      <w:r w:rsidR="00D86523">
        <w:rPr>
          <w:b/>
          <w:lang w:val="es-ES"/>
        </w:rPr>
        <w:t xml:space="preserve"> del consumo</w:t>
      </w:r>
      <w:r w:rsidRPr="009875D5">
        <w:rPr>
          <w:b/>
          <w:lang w:val="es-ES"/>
        </w:rPr>
        <w:t xml:space="preserve"> </w:t>
      </w:r>
      <w:r w:rsidR="00D86523">
        <w:rPr>
          <w:b/>
          <w:lang w:val="es-ES"/>
        </w:rPr>
        <w:t>por</w:t>
      </w:r>
      <w:r w:rsidRPr="009875D5">
        <w:rPr>
          <w:b/>
          <w:lang w:val="es-ES"/>
        </w:rPr>
        <w:t xml:space="preserve"> reposición pierde intensidad.</w:t>
      </w:r>
      <w:r w:rsidRPr="009875D5">
        <w:rPr>
          <w:lang w:val="es-ES"/>
        </w:rPr>
        <w:t xml:space="preserve"> </w:t>
      </w:r>
      <w:r w:rsidR="00D86523">
        <w:rPr>
          <w:lang w:val="es-ES"/>
        </w:rPr>
        <w:t>B</w:t>
      </w:r>
      <w:r w:rsidRPr="009875D5">
        <w:rPr>
          <w:lang w:val="es-ES"/>
        </w:rPr>
        <w:t>uena parte de las compras para reponer bienes perdidos ya se ha materializado en 202</w:t>
      </w:r>
      <w:r w:rsidR="007B5770" w:rsidRPr="009875D5">
        <w:rPr>
          <w:lang w:val="es-ES"/>
        </w:rPr>
        <w:t>5</w:t>
      </w:r>
      <w:r w:rsidRPr="009875D5">
        <w:rPr>
          <w:lang w:val="es-ES"/>
        </w:rPr>
        <w:t>, aunque continúan reparaciones y determinados gastos vinculados a las viviendas.</w:t>
      </w:r>
    </w:p>
    <w:p w14:paraId="4F6B280E" w14:textId="1305698D" w:rsidR="005E7840" w:rsidRPr="009875D5" w:rsidRDefault="00996C65" w:rsidP="009875D5">
      <w:pPr>
        <w:pStyle w:val="DANABullet"/>
        <w:numPr>
          <w:ilvl w:val="0"/>
          <w:numId w:val="1"/>
        </w:numPr>
        <w:spacing w:after="240" w:line="240" w:lineRule="auto"/>
        <w:jc w:val="both"/>
        <w:rPr>
          <w:lang w:val="es-ES"/>
        </w:rPr>
      </w:pPr>
      <w:r w:rsidRPr="009875D5">
        <w:rPr>
          <w:b/>
          <w:lang w:val="es-ES"/>
        </w:rPr>
        <w:t>Mayor planificación y prudencia del gasto familiar.</w:t>
      </w:r>
      <w:r w:rsidRPr="009875D5">
        <w:rPr>
          <w:lang w:val="es-ES"/>
        </w:rPr>
        <w:t xml:space="preserve"> </w:t>
      </w:r>
      <w:r w:rsidR="00D86523">
        <w:rPr>
          <w:lang w:val="es-ES"/>
        </w:rPr>
        <w:t>Las familias de los municipios de la zona cero muestran una mayor planificación de</w:t>
      </w:r>
      <w:r w:rsidRPr="009875D5">
        <w:rPr>
          <w:lang w:val="es-ES"/>
        </w:rPr>
        <w:t xml:space="preserve">l presupuesto, </w:t>
      </w:r>
      <w:r w:rsidR="00D86523">
        <w:rPr>
          <w:lang w:val="es-ES"/>
        </w:rPr>
        <w:t xml:space="preserve">con mayor atención </w:t>
      </w:r>
      <w:r w:rsidRPr="009875D5">
        <w:rPr>
          <w:lang w:val="es-ES"/>
        </w:rPr>
        <w:t xml:space="preserve">al precio de los productos y a la necesidad de disponer de ahorro </w:t>
      </w:r>
      <w:r w:rsidR="007B5770" w:rsidRPr="009875D5">
        <w:rPr>
          <w:lang w:val="es-ES"/>
        </w:rPr>
        <w:t>por</w:t>
      </w:r>
      <w:r w:rsidRPr="009875D5">
        <w:rPr>
          <w:lang w:val="es-ES"/>
        </w:rPr>
        <w:t xml:space="preserve"> precaución</w:t>
      </w:r>
      <w:r w:rsidR="00D86523">
        <w:rPr>
          <w:lang w:val="es-ES"/>
        </w:rPr>
        <w:t xml:space="preserve">. </w:t>
      </w:r>
    </w:p>
    <w:p w14:paraId="5CEC918D" w14:textId="56CAA0AE" w:rsidR="005E7840" w:rsidRPr="009875D5" w:rsidRDefault="00996C65" w:rsidP="009875D5">
      <w:pPr>
        <w:pStyle w:val="DANABullet"/>
        <w:numPr>
          <w:ilvl w:val="0"/>
          <w:numId w:val="1"/>
        </w:numPr>
        <w:spacing w:after="240" w:line="240" w:lineRule="auto"/>
        <w:jc w:val="both"/>
        <w:rPr>
          <w:lang w:val="es-ES"/>
        </w:rPr>
      </w:pPr>
      <w:r w:rsidRPr="009875D5">
        <w:rPr>
          <w:b/>
          <w:lang w:val="es-ES"/>
        </w:rPr>
        <w:lastRenderedPageBreak/>
        <w:t>El comercio de proximidad ha recuperado parte del gasto cotidiano.</w:t>
      </w:r>
      <w:r w:rsidRPr="009875D5">
        <w:rPr>
          <w:lang w:val="es-ES"/>
        </w:rPr>
        <w:t xml:space="preserve"> La reapertura de establecimientos y las campañas de apoyo comercial han favorecido las compras locales. </w:t>
      </w:r>
      <w:r w:rsidR="00D86523">
        <w:rPr>
          <w:lang w:val="es-ES"/>
        </w:rPr>
        <w:t>Sólo e</w:t>
      </w:r>
      <w:r w:rsidRPr="009875D5">
        <w:rPr>
          <w:lang w:val="es-ES"/>
        </w:rPr>
        <w:t>l Bono Comercio DANA</w:t>
      </w:r>
      <w:r w:rsidR="00D86523">
        <w:rPr>
          <w:lang w:val="es-ES"/>
        </w:rPr>
        <w:t xml:space="preserve"> -como herramienta de dinamización comercial-</w:t>
      </w:r>
      <w:r w:rsidRPr="009875D5">
        <w:rPr>
          <w:lang w:val="es-ES"/>
        </w:rPr>
        <w:t xml:space="preserve"> generó 9,</w:t>
      </w:r>
      <w:r w:rsidR="00D86523">
        <w:rPr>
          <w:lang w:val="es-ES"/>
        </w:rPr>
        <w:t>3</w:t>
      </w:r>
      <w:r w:rsidRPr="009875D5">
        <w:rPr>
          <w:lang w:val="es-ES"/>
        </w:rPr>
        <w:t xml:space="preserve"> millones de euros en compras durante el segundo semestre de 2025</w:t>
      </w:r>
      <w:r w:rsidR="00D86523">
        <w:rPr>
          <w:lang w:val="es-ES"/>
        </w:rPr>
        <w:t>. Asimismo, varios ayuntamientos de la zona pusieron en marcha diferentes ediciones del Bono Comercio o Bono hostelería.</w:t>
      </w:r>
    </w:p>
    <w:p w14:paraId="7A98C0B6" w14:textId="77777777" w:rsidR="005E7840" w:rsidRPr="009875D5" w:rsidRDefault="00996C65" w:rsidP="009875D5">
      <w:pPr>
        <w:pStyle w:val="DANABullet"/>
        <w:numPr>
          <w:ilvl w:val="0"/>
          <w:numId w:val="1"/>
        </w:numPr>
        <w:spacing w:after="240" w:line="240" w:lineRule="auto"/>
        <w:jc w:val="both"/>
        <w:rPr>
          <w:lang w:val="es-ES"/>
        </w:rPr>
      </w:pPr>
      <w:r w:rsidRPr="009875D5">
        <w:rPr>
          <w:b/>
          <w:lang w:val="es-ES"/>
        </w:rPr>
        <w:t>Se consolidan formas de compra más híbridas.</w:t>
      </w:r>
      <w:r w:rsidRPr="009875D5">
        <w:rPr>
          <w:lang w:val="es-ES"/>
        </w:rPr>
        <w:t xml:space="preserve"> La experiencia posterior a las inundaciones ha extendido el uso complementario del comercio físico, la compra por internet, la mensajería directa y el reparto a domicilio.</w:t>
      </w:r>
    </w:p>
    <w:p w14:paraId="5125F4EF" w14:textId="34B136FE" w:rsidR="005E7840" w:rsidRDefault="00996C65" w:rsidP="009875D5">
      <w:pPr>
        <w:pStyle w:val="DANABullet"/>
        <w:numPr>
          <w:ilvl w:val="0"/>
          <w:numId w:val="1"/>
        </w:numPr>
        <w:spacing w:after="240" w:line="240" w:lineRule="auto"/>
        <w:jc w:val="both"/>
        <w:rPr>
          <w:lang w:val="es-ES"/>
        </w:rPr>
      </w:pPr>
      <w:r w:rsidRPr="009875D5">
        <w:rPr>
          <w:b/>
          <w:lang w:val="es-ES"/>
        </w:rPr>
        <w:t xml:space="preserve">El gasto en ocio y hostelería </w:t>
      </w:r>
      <w:r w:rsidR="006256E3">
        <w:rPr>
          <w:b/>
          <w:lang w:val="es-ES"/>
        </w:rPr>
        <w:t>mantiene la senda de recuperación</w:t>
      </w:r>
      <w:r w:rsidRPr="009875D5">
        <w:rPr>
          <w:b/>
          <w:lang w:val="es-ES"/>
        </w:rPr>
        <w:t>.</w:t>
      </w:r>
      <w:r w:rsidRPr="009875D5">
        <w:rPr>
          <w:lang w:val="es-ES"/>
        </w:rPr>
        <w:t xml:space="preserve"> </w:t>
      </w:r>
      <w:r w:rsidR="006256E3">
        <w:rPr>
          <w:lang w:val="es-ES"/>
        </w:rPr>
        <w:t xml:space="preserve">La afluencia a los establecimientos de hostelería y ocio sigue recuperándose, aunque </w:t>
      </w:r>
      <w:r w:rsidRPr="009875D5">
        <w:rPr>
          <w:lang w:val="es-ES"/>
        </w:rPr>
        <w:t>el gasto medio por consumición en hostelería es más reducido</w:t>
      </w:r>
      <w:r w:rsidR="006256E3">
        <w:rPr>
          <w:lang w:val="es-ES"/>
        </w:rPr>
        <w:t xml:space="preserve">, debido </w:t>
      </w:r>
      <w:r w:rsidR="0067755D">
        <w:rPr>
          <w:lang w:val="es-ES"/>
        </w:rPr>
        <w:t xml:space="preserve">a </w:t>
      </w:r>
      <w:r w:rsidR="006256E3">
        <w:rPr>
          <w:lang w:val="es-ES"/>
        </w:rPr>
        <w:t>la pérdida de poder adquisitivo de las familias y los precios al alza.</w:t>
      </w:r>
    </w:p>
    <w:p w14:paraId="57C4B237" w14:textId="77777777" w:rsidR="006256E3" w:rsidRPr="009875D5" w:rsidRDefault="006256E3" w:rsidP="006256E3">
      <w:pPr>
        <w:pStyle w:val="DANABullet"/>
        <w:spacing w:after="240" w:line="240" w:lineRule="auto"/>
        <w:ind w:left="550" w:firstLine="0"/>
        <w:jc w:val="both"/>
        <w:rPr>
          <w:lang w:val="es-ES"/>
        </w:rPr>
      </w:pPr>
    </w:p>
    <w:p w14:paraId="3832678A" w14:textId="246A26C7" w:rsidR="005E7840" w:rsidRPr="009875D5" w:rsidRDefault="00996C65" w:rsidP="009875D5">
      <w:pPr>
        <w:pStyle w:val="DANASection"/>
        <w:spacing w:after="240" w:line="240" w:lineRule="auto"/>
        <w:jc w:val="both"/>
        <w:rPr>
          <w:lang w:val="es-ES"/>
        </w:rPr>
      </w:pPr>
      <w:r w:rsidRPr="009875D5">
        <w:rPr>
          <w:lang w:val="es-ES"/>
        </w:rPr>
        <w:t xml:space="preserve">5. Percepción del riesgo </w:t>
      </w:r>
    </w:p>
    <w:p w14:paraId="00BAF67F" w14:textId="67B4F6E2" w:rsidR="005E7840" w:rsidRDefault="006256E3" w:rsidP="009875D5">
      <w:pPr>
        <w:pStyle w:val="DANABullet"/>
        <w:numPr>
          <w:ilvl w:val="0"/>
          <w:numId w:val="1"/>
        </w:numPr>
        <w:spacing w:after="240" w:line="240" w:lineRule="auto"/>
        <w:jc w:val="both"/>
        <w:rPr>
          <w:lang w:val="es-ES"/>
        </w:rPr>
      </w:pPr>
      <w:r>
        <w:rPr>
          <w:b/>
          <w:lang w:val="es-ES"/>
        </w:rPr>
        <w:t>Aumenta la concienciación de l</w:t>
      </w:r>
      <w:r w:rsidR="00996C65" w:rsidRPr="009875D5">
        <w:rPr>
          <w:b/>
          <w:lang w:val="es-ES"/>
        </w:rPr>
        <w:t>a seguridad frente a inundaciones</w:t>
      </w:r>
      <w:r>
        <w:rPr>
          <w:b/>
          <w:lang w:val="es-ES"/>
        </w:rPr>
        <w:t xml:space="preserve"> y alertas</w:t>
      </w:r>
      <w:r w:rsidR="00996C65" w:rsidRPr="009875D5">
        <w:rPr>
          <w:b/>
          <w:lang w:val="es-ES"/>
        </w:rPr>
        <w:t>.</w:t>
      </w:r>
      <w:r w:rsidR="00996C65" w:rsidRPr="009875D5">
        <w:rPr>
          <w:lang w:val="es-ES"/>
        </w:rPr>
        <w:t xml:space="preserve"> Las familias prestan más atención a la ubicación de las viviendas, la cota de garajes y bajos, el drenaje urbano y los sistemas de alerta ante lluvias intensas.</w:t>
      </w:r>
      <w:r>
        <w:rPr>
          <w:lang w:val="es-ES"/>
        </w:rPr>
        <w:t xml:space="preserve"> Sin embargo, los negocios señalan los efectos negativos sobre la actividad empresarial que implican las alertas excesivamente amplias ante diferentes tipos de riesgos. Los protocolos de actuación claros son imprescindibles para reducir la incertidumbre.</w:t>
      </w:r>
    </w:p>
    <w:p w14:paraId="1F8F260E" w14:textId="7D71CC8F" w:rsidR="005E7840" w:rsidRPr="009875D5" w:rsidRDefault="00996C65" w:rsidP="009875D5">
      <w:pPr>
        <w:pStyle w:val="DANABullet"/>
        <w:numPr>
          <w:ilvl w:val="0"/>
          <w:numId w:val="1"/>
        </w:numPr>
        <w:spacing w:after="240" w:line="240" w:lineRule="auto"/>
        <w:jc w:val="both"/>
        <w:rPr>
          <w:lang w:val="es-ES"/>
        </w:rPr>
      </w:pPr>
      <w:r w:rsidRPr="009875D5">
        <w:rPr>
          <w:b/>
          <w:lang w:val="es-ES"/>
        </w:rPr>
        <w:t xml:space="preserve">La movilidad </w:t>
      </w:r>
      <w:r w:rsidR="006256E3">
        <w:rPr>
          <w:b/>
          <w:lang w:val="es-ES"/>
        </w:rPr>
        <w:t xml:space="preserve">en el territorio </w:t>
      </w:r>
      <w:r w:rsidRPr="009875D5">
        <w:rPr>
          <w:b/>
          <w:lang w:val="es-ES"/>
        </w:rPr>
        <w:t>se incorpora a la seguridad económica.</w:t>
      </w:r>
      <w:r w:rsidRPr="009875D5">
        <w:rPr>
          <w:lang w:val="es-ES"/>
        </w:rPr>
        <w:t xml:space="preserve"> La pérdida de vehículos y las dificultades de desplazamiento han reforzado la valoración de los accesos seguros, el transporte público y la conexión con los centros de trabajo y servicios</w:t>
      </w:r>
      <w:r w:rsidR="006256E3">
        <w:rPr>
          <w:lang w:val="es-ES"/>
        </w:rPr>
        <w:t>, especialmente dentro del Área Metropolitana de Valencia.</w:t>
      </w:r>
    </w:p>
    <w:p w14:paraId="51B3983D" w14:textId="6A355A10" w:rsidR="005E7840" w:rsidRDefault="00996C65" w:rsidP="009875D5">
      <w:pPr>
        <w:pStyle w:val="DANABullet"/>
        <w:numPr>
          <w:ilvl w:val="0"/>
          <w:numId w:val="1"/>
        </w:numPr>
        <w:spacing w:after="240" w:line="240" w:lineRule="auto"/>
        <w:jc w:val="both"/>
        <w:rPr>
          <w:lang w:val="es-ES"/>
        </w:rPr>
      </w:pPr>
      <w:r w:rsidRPr="009875D5">
        <w:rPr>
          <w:b/>
          <w:lang w:val="es-ES"/>
        </w:rPr>
        <w:t>La recuperación material no agota las necesidades sociales.</w:t>
      </w:r>
      <w:r w:rsidRPr="009875D5">
        <w:rPr>
          <w:lang w:val="es-ES"/>
        </w:rPr>
        <w:t xml:space="preserve"> </w:t>
      </w:r>
      <w:r w:rsidR="006256E3">
        <w:rPr>
          <w:lang w:val="es-ES"/>
        </w:rPr>
        <w:t xml:space="preserve">La sociedad civil y las empresas </w:t>
      </w:r>
      <w:r w:rsidR="006256E3" w:rsidRPr="009875D5">
        <w:rPr>
          <w:lang w:val="es-ES"/>
        </w:rPr>
        <w:t>demandan</w:t>
      </w:r>
      <w:r w:rsidR="006256E3">
        <w:rPr>
          <w:lang w:val="es-ES"/>
        </w:rPr>
        <w:t xml:space="preserve"> </w:t>
      </w:r>
      <w:r w:rsidRPr="009875D5">
        <w:rPr>
          <w:lang w:val="es-ES"/>
        </w:rPr>
        <w:t>mayor claridad y agilidad administrativa, recuperación de espacios públicos y continuidad del apoyo psicológico y emocional a la población afectada.</w:t>
      </w:r>
    </w:p>
    <w:p w14:paraId="4298F305" w14:textId="77777777" w:rsidR="00352581" w:rsidRPr="009875D5" w:rsidRDefault="00352581" w:rsidP="00352581">
      <w:pPr>
        <w:pStyle w:val="DANABullet"/>
        <w:spacing w:after="240" w:line="240" w:lineRule="auto"/>
        <w:ind w:left="550" w:firstLine="0"/>
        <w:jc w:val="both"/>
        <w:rPr>
          <w:lang w:val="es-ES"/>
        </w:rPr>
      </w:pPr>
    </w:p>
    <w:sectPr w:rsidR="00352581" w:rsidRPr="009875D5" w:rsidSect="000A70DC">
      <w:headerReference w:type="default" r:id="rId8"/>
      <w:footerReference w:type="default" r:id="rId9"/>
      <w:pgSz w:w="11906" w:h="16838"/>
      <w:pgMar w:top="2269" w:right="1332" w:bottom="935" w:left="1332" w:header="454"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8B1B3" w14:textId="77777777" w:rsidR="004B0F37" w:rsidRDefault="004B0F37">
      <w:pPr>
        <w:spacing w:after="0" w:line="240" w:lineRule="auto"/>
      </w:pPr>
      <w:r>
        <w:separator/>
      </w:r>
    </w:p>
  </w:endnote>
  <w:endnote w:type="continuationSeparator" w:id="0">
    <w:p w14:paraId="47F90D0F" w14:textId="77777777" w:rsidR="004B0F37" w:rsidRDefault="004B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23DD" w14:textId="404F1591" w:rsidR="002947A5" w:rsidRDefault="00D2461E" w:rsidP="00D2461E">
    <w:pPr>
      <w:pStyle w:val="Piedepgina"/>
    </w:pPr>
    <w:proofErr w:type="spellStart"/>
    <w:r w:rsidRPr="00D2461E">
      <w:rPr>
        <w:color w:val="595959" w:themeColor="text1" w:themeTint="A6"/>
        <w:sz w:val="20"/>
        <w:szCs w:val="20"/>
      </w:rPr>
      <w:t>Octubre</w:t>
    </w:r>
    <w:proofErr w:type="spellEnd"/>
    <w:r w:rsidRPr="00D2461E">
      <w:rPr>
        <w:color w:val="595959" w:themeColor="text1" w:themeTint="A6"/>
        <w:sz w:val="20"/>
        <w:szCs w:val="20"/>
      </w:rPr>
      <w:t xml:space="preserve"> 2026</w:t>
    </w:r>
    <w:r>
      <w:rPr>
        <w:color w:val="595959" w:themeColor="text1" w:themeTint="A6"/>
        <w:sz w:val="20"/>
        <w:szCs w:val="20"/>
      </w:rPr>
      <w:tab/>
    </w:r>
    <w:r>
      <w:rPr>
        <w:color w:val="595959" w:themeColor="text1" w:themeTint="A6"/>
        <w:sz w:val="20"/>
        <w:szCs w:val="20"/>
      </w:rPr>
      <w:tab/>
    </w:r>
    <w:sdt>
      <w:sdtPr>
        <w:id w:val="-1701619236"/>
        <w:docPartObj>
          <w:docPartGallery w:val="Page Numbers (Bottom of Page)"/>
          <w:docPartUnique/>
        </w:docPartObj>
      </w:sdtPr>
      <w:sdtEndPr/>
      <w:sdtContent>
        <w:r w:rsidR="002947A5">
          <w:fldChar w:fldCharType="begin"/>
        </w:r>
        <w:r w:rsidR="002947A5">
          <w:instrText>PAGE   \* MERGEFORMAT</w:instrText>
        </w:r>
        <w:r w:rsidR="002947A5">
          <w:fldChar w:fldCharType="separate"/>
        </w:r>
        <w:r w:rsidR="002947A5">
          <w:rPr>
            <w:lang w:val="es-ES"/>
          </w:rPr>
          <w:t>2</w:t>
        </w:r>
        <w:r w:rsidR="002947A5">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BC545" w14:textId="77777777" w:rsidR="004B0F37" w:rsidRDefault="004B0F37">
      <w:pPr>
        <w:spacing w:after="0" w:line="240" w:lineRule="auto"/>
      </w:pPr>
      <w:r>
        <w:separator/>
      </w:r>
    </w:p>
  </w:footnote>
  <w:footnote w:type="continuationSeparator" w:id="0">
    <w:p w14:paraId="69ACEAEF" w14:textId="77777777" w:rsidR="004B0F37" w:rsidRDefault="004B0F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7B06" w14:textId="555BA767" w:rsidR="002947A5" w:rsidRDefault="002947A5" w:rsidP="002947A5">
    <w:pPr>
      <w:pStyle w:val="Encabezado"/>
      <w:jc w:val="right"/>
    </w:pPr>
    <w:r>
      <w:rPr>
        <w:noProof/>
      </w:rPr>
      <w:drawing>
        <wp:inline distT="0" distB="0" distL="0" distR="0" wp14:anchorId="57CFD81E" wp14:editId="1BA4649E">
          <wp:extent cx="1384128" cy="543464"/>
          <wp:effectExtent l="0" t="0" r="0" b="0"/>
          <wp:docPr id="898511227" name="Imagen 1" descr="Comercio - Cámara Va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ercio - Cámara Valencia"/>
                  <pic:cNvPicPr>
                    <a:picLocks noChangeAspect="1" noChangeArrowheads="1"/>
                  </pic:cNvPicPr>
                </pic:nvPicPr>
                <pic:blipFill rotWithShape="1">
                  <a:blip r:embed="rId1">
                    <a:extLst>
                      <a:ext uri="{28A0092B-C50C-407E-A947-70E740481C1C}">
                        <a14:useLocalDpi xmlns:a14="http://schemas.microsoft.com/office/drawing/2010/main" val="0"/>
                      </a:ext>
                    </a:extLst>
                  </a:blip>
                  <a:srcRect t="34445" b="26291"/>
                  <a:stretch>
                    <a:fillRect/>
                  </a:stretch>
                </pic:blipFill>
                <pic:spPr bwMode="auto">
                  <a:xfrm>
                    <a:off x="0" y="0"/>
                    <a:ext cx="1406438" cy="5522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4E78DE"/>
    <w:multiLevelType w:val="hybridMultilevel"/>
    <w:tmpl w:val="3EFCCD1C"/>
    <w:lvl w:ilvl="0" w:tplc="0C0A0001">
      <w:start w:val="1"/>
      <w:numFmt w:val="bullet"/>
      <w:lvlText w:val=""/>
      <w:lvlJc w:val="left"/>
      <w:pPr>
        <w:ind w:left="580" w:hanging="360"/>
      </w:pPr>
      <w:rPr>
        <w:rFonts w:ascii="Symbol" w:hAnsi="Symbol" w:hint="default"/>
      </w:rPr>
    </w:lvl>
    <w:lvl w:ilvl="1" w:tplc="0C0A0003" w:tentative="1">
      <w:start w:val="1"/>
      <w:numFmt w:val="bullet"/>
      <w:lvlText w:val="o"/>
      <w:lvlJc w:val="left"/>
      <w:pPr>
        <w:ind w:left="1300" w:hanging="360"/>
      </w:pPr>
      <w:rPr>
        <w:rFonts w:ascii="Courier New" w:hAnsi="Courier New" w:cs="Courier New" w:hint="default"/>
      </w:rPr>
    </w:lvl>
    <w:lvl w:ilvl="2" w:tplc="0C0A0005" w:tentative="1">
      <w:start w:val="1"/>
      <w:numFmt w:val="bullet"/>
      <w:lvlText w:val=""/>
      <w:lvlJc w:val="left"/>
      <w:pPr>
        <w:ind w:left="2020" w:hanging="360"/>
      </w:pPr>
      <w:rPr>
        <w:rFonts w:ascii="Wingdings" w:hAnsi="Wingdings" w:hint="default"/>
      </w:rPr>
    </w:lvl>
    <w:lvl w:ilvl="3" w:tplc="0C0A0001" w:tentative="1">
      <w:start w:val="1"/>
      <w:numFmt w:val="bullet"/>
      <w:lvlText w:val=""/>
      <w:lvlJc w:val="left"/>
      <w:pPr>
        <w:ind w:left="2740" w:hanging="360"/>
      </w:pPr>
      <w:rPr>
        <w:rFonts w:ascii="Symbol" w:hAnsi="Symbol" w:hint="default"/>
      </w:rPr>
    </w:lvl>
    <w:lvl w:ilvl="4" w:tplc="0C0A0003" w:tentative="1">
      <w:start w:val="1"/>
      <w:numFmt w:val="bullet"/>
      <w:lvlText w:val="o"/>
      <w:lvlJc w:val="left"/>
      <w:pPr>
        <w:ind w:left="3460" w:hanging="360"/>
      </w:pPr>
      <w:rPr>
        <w:rFonts w:ascii="Courier New" w:hAnsi="Courier New" w:cs="Courier New" w:hint="default"/>
      </w:rPr>
    </w:lvl>
    <w:lvl w:ilvl="5" w:tplc="0C0A0005" w:tentative="1">
      <w:start w:val="1"/>
      <w:numFmt w:val="bullet"/>
      <w:lvlText w:val=""/>
      <w:lvlJc w:val="left"/>
      <w:pPr>
        <w:ind w:left="4180" w:hanging="360"/>
      </w:pPr>
      <w:rPr>
        <w:rFonts w:ascii="Wingdings" w:hAnsi="Wingdings" w:hint="default"/>
      </w:rPr>
    </w:lvl>
    <w:lvl w:ilvl="6" w:tplc="0C0A0001" w:tentative="1">
      <w:start w:val="1"/>
      <w:numFmt w:val="bullet"/>
      <w:lvlText w:val=""/>
      <w:lvlJc w:val="left"/>
      <w:pPr>
        <w:ind w:left="4900" w:hanging="360"/>
      </w:pPr>
      <w:rPr>
        <w:rFonts w:ascii="Symbol" w:hAnsi="Symbol" w:hint="default"/>
      </w:rPr>
    </w:lvl>
    <w:lvl w:ilvl="7" w:tplc="0C0A0003" w:tentative="1">
      <w:start w:val="1"/>
      <w:numFmt w:val="bullet"/>
      <w:lvlText w:val="o"/>
      <w:lvlJc w:val="left"/>
      <w:pPr>
        <w:ind w:left="5620" w:hanging="360"/>
      </w:pPr>
      <w:rPr>
        <w:rFonts w:ascii="Courier New" w:hAnsi="Courier New" w:cs="Courier New" w:hint="default"/>
      </w:rPr>
    </w:lvl>
    <w:lvl w:ilvl="8" w:tplc="0C0A0005" w:tentative="1">
      <w:start w:val="1"/>
      <w:numFmt w:val="bullet"/>
      <w:lvlText w:val=""/>
      <w:lvlJc w:val="left"/>
      <w:pPr>
        <w:ind w:left="6340" w:hanging="360"/>
      </w:pPr>
      <w:rPr>
        <w:rFonts w:ascii="Wingdings" w:hAnsi="Wingdings" w:hint="default"/>
      </w:rPr>
    </w:lvl>
  </w:abstractNum>
  <w:abstractNum w:abstractNumId="10" w15:restartNumberingAfterBreak="0">
    <w:nsid w:val="64BF2F5B"/>
    <w:multiLevelType w:val="singleLevel"/>
    <w:tmpl w:val="DDAA5D96"/>
    <w:lvl w:ilvl="0">
      <w:start w:val="1"/>
      <w:numFmt w:val="bullet"/>
      <w:pStyle w:val="Listaconvietas"/>
      <w:lvlText w:val="•"/>
      <w:lvlJc w:val="left"/>
      <w:pPr>
        <w:tabs>
          <w:tab w:val="num" w:pos="550"/>
        </w:tabs>
        <w:ind w:left="550" w:hanging="330"/>
      </w:pPr>
      <w:rPr>
        <w:color w:val="6A1E36"/>
      </w:rPr>
    </w:lvl>
  </w:abstractNum>
  <w:num w:numId="1" w16cid:durableId="2089181953">
    <w:abstractNumId w:val="10"/>
  </w:num>
  <w:num w:numId="2" w16cid:durableId="1422368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0DC"/>
    <w:rsid w:val="000B0C2D"/>
    <w:rsid w:val="0015074B"/>
    <w:rsid w:val="0022688F"/>
    <w:rsid w:val="002947A5"/>
    <w:rsid w:val="0029639D"/>
    <w:rsid w:val="002A1B3E"/>
    <w:rsid w:val="002B55EA"/>
    <w:rsid w:val="00326F90"/>
    <w:rsid w:val="003516EC"/>
    <w:rsid w:val="00352581"/>
    <w:rsid w:val="003C037F"/>
    <w:rsid w:val="003C5A06"/>
    <w:rsid w:val="004B0F37"/>
    <w:rsid w:val="005E1307"/>
    <w:rsid w:val="005E7840"/>
    <w:rsid w:val="006256E3"/>
    <w:rsid w:val="0067755D"/>
    <w:rsid w:val="007B5770"/>
    <w:rsid w:val="007C2737"/>
    <w:rsid w:val="0081269A"/>
    <w:rsid w:val="0090616E"/>
    <w:rsid w:val="009875D5"/>
    <w:rsid w:val="00996C65"/>
    <w:rsid w:val="00AA1D8D"/>
    <w:rsid w:val="00AF71ED"/>
    <w:rsid w:val="00B20905"/>
    <w:rsid w:val="00B4514A"/>
    <w:rsid w:val="00B47730"/>
    <w:rsid w:val="00C70F0B"/>
    <w:rsid w:val="00C91908"/>
    <w:rsid w:val="00CB0664"/>
    <w:rsid w:val="00D2461E"/>
    <w:rsid w:val="00D86523"/>
    <w:rsid w:val="00F22A4B"/>
    <w:rsid w:val="00FC09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442AB6"/>
  <w14:defaultImageDpi w14:val="300"/>
  <w15:docId w15:val="{B651DBB2-67D7-4894-8473-3FBD13AC1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7" w:lineRule="auto"/>
    </w:pPr>
    <w:rPr>
      <w:rFonts w:ascii="Times New Roman" w:hAnsi="Times New Roman"/>
      <w:color w:val="29292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tabs>
        <w:tab w:val="num" w:pos="360"/>
      </w:tabs>
      <w:contextualSpacing/>
    </w:pPr>
  </w:style>
  <w:style w:type="paragraph" w:styleId="Listaconvietas3">
    <w:name w:val="List Bullet 3"/>
    <w:basedOn w:val="Normal"/>
    <w:uiPriority w:val="99"/>
    <w:unhideWhenUsed/>
    <w:rsid w:val="00326F90"/>
    <w:pPr>
      <w:tabs>
        <w:tab w:val="num" w:pos="360"/>
      </w:tabs>
      <w:contextualSpacing/>
    </w:pPr>
  </w:style>
  <w:style w:type="paragraph" w:styleId="Listaconnmeros">
    <w:name w:val="List Number"/>
    <w:basedOn w:val="Normal"/>
    <w:uiPriority w:val="99"/>
    <w:unhideWhenUsed/>
    <w:rsid w:val="00326F90"/>
    <w:pPr>
      <w:tabs>
        <w:tab w:val="num" w:pos="360"/>
      </w:tabs>
      <w:contextualSpacing/>
    </w:pPr>
  </w:style>
  <w:style w:type="paragraph" w:styleId="Listaconnmeros2">
    <w:name w:val="List Number 2"/>
    <w:basedOn w:val="Normal"/>
    <w:uiPriority w:val="99"/>
    <w:unhideWhenUsed/>
    <w:rsid w:val="0029639D"/>
    <w:pPr>
      <w:tabs>
        <w:tab w:val="num" w:pos="360"/>
      </w:tabs>
      <w:contextualSpacing/>
    </w:pPr>
  </w:style>
  <w:style w:type="paragraph" w:styleId="Listaconnmeros3">
    <w:name w:val="List Number 3"/>
    <w:basedOn w:val="Normal"/>
    <w:uiPriority w:val="99"/>
    <w:unhideWhenUsed/>
    <w:rsid w:val="0029639D"/>
    <w:pPr>
      <w:tabs>
        <w:tab w:val="num" w:pos="360"/>
      </w:tabs>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ANASection">
    <w:name w:val="DANA Section"/>
    <w:basedOn w:val="Normal"/>
    <w:pPr>
      <w:keepNext/>
      <w:spacing w:before="180"/>
    </w:pPr>
    <w:rPr>
      <w:b/>
      <w:color w:val="6A1E36"/>
      <w:sz w:val="25"/>
    </w:rPr>
  </w:style>
  <w:style w:type="paragraph" w:customStyle="1" w:styleId="DANABullet">
    <w:name w:val="DANA Bullet"/>
    <w:basedOn w:val="Normal"/>
    <w:pPr>
      <w:keepLines/>
      <w:ind w:left="380" w:hanging="2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1122</Words>
  <Characters>6177</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Gracia Cicuendez</cp:lastModifiedBy>
  <cp:revision>7</cp:revision>
  <cp:lastPrinted>2026-10-26T11:54:00Z</cp:lastPrinted>
  <dcterms:created xsi:type="dcterms:W3CDTF">2026-10-27T12:18:00Z</dcterms:created>
  <dcterms:modified xsi:type="dcterms:W3CDTF">2026-10-27T13:05:00Z</dcterms:modified>
  <cp:category/>
</cp:coreProperties>
</file>